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D9F">
        <w:rPr>
          <w:rFonts w:ascii="Times New Roman" w:hAnsi="Times New Roman" w:cs="Times New Roman"/>
          <w:b/>
          <w:sz w:val="36"/>
          <w:szCs w:val="36"/>
        </w:rPr>
        <w:t>ОСВІТНЯ ПРОГРАМА</w:t>
      </w:r>
    </w:p>
    <w:p w:rsidR="0063751E" w:rsidRPr="00F26D9F" w:rsidRDefault="0063751E" w:rsidP="0063751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 xml:space="preserve">РІВЕНЬ ВИЩОЇ ОСВІТИ </w:t>
      </w:r>
      <w:r w:rsidRPr="00F26D9F">
        <w:rPr>
          <w:rFonts w:ascii="Times New Roman" w:hAnsi="Times New Roman" w:cs="Times New Roman"/>
          <w:sz w:val="28"/>
          <w:szCs w:val="28"/>
          <w:u w:val="single"/>
        </w:rPr>
        <w:t>другий (магістерський)</w:t>
      </w:r>
    </w:p>
    <w:p w:rsidR="0063751E" w:rsidRPr="00F26D9F" w:rsidRDefault="0063751E" w:rsidP="0063751E">
      <w:pPr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 xml:space="preserve">СТУПІНЬ ВИЩОЇ ОСВІТИ </w:t>
      </w:r>
      <w:r w:rsidRPr="00F26D9F">
        <w:rPr>
          <w:rFonts w:ascii="Times New Roman" w:hAnsi="Times New Roman" w:cs="Times New Roman"/>
          <w:sz w:val="28"/>
          <w:szCs w:val="28"/>
          <w:u w:val="single"/>
        </w:rPr>
        <w:t>магістр</w:t>
      </w:r>
    </w:p>
    <w:p w:rsidR="0063751E" w:rsidRPr="00F26D9F" w:rsidRDefault="0063751E" w:rsidP="006375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 xml:space="preserve">ГАЛУЗЬ ЗНАНЬ </w:t>
      </w:r>
      <w:r w:rsidRPr="00F26D9F">
        <w:rPr>
          <w:rFonts w:ascii="Times New Roman" w:hAnsi="Times New Roman" w:cs="Times New Roman"/>
          <w:sz w:val="28"/>
          <w:szCs w:val="28"/>
          <w:u w:val="single"/>
        </w:rPr>
        <w:t xml:space="preserve">20 Аграрні науки та продовольство </w:t>
      </w:r>
    </w:p>
    <w:p w:rsidR="0063751E" w:rsidRPr="00F26D9F" w:rsidRDefault="0063751E" w:rsidP="006375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Pr="00F26D9F">
        <w:rPr>
          <w:rFonts w:ascii="Times New Roman" w:hAnsi="Times New Roman" w:cs="Times New Roman"/>
          <w:sz w:val="28"/>
          <w:szCs w:val="28"/>
          <w:u w:val="single"/>
        </w:rPr>
        <w:t>206 Садово-паркове  господарство</w:t>
      </w:r>
    </w:p>
    <w:p w:rsidR="0063751E" w:rsidRPr="00F26D9F" w:rsidRDefault="0063751E" w:rsidP="006375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 xml:space="preserve">ОСВІТНЯ КВАЛІФІКАЦІЯ </w:t>
      </w:r>
      <w:r w:rsidR="004B07B9">
        <w:rPr>
          <w:rFonts w:ascii="Times New Roman" w:hAnsi="Times New Roman" w:cs="Times New Roman"/>
          <w:sz w:val="28"/>
          <w:szCs w:val="28"/>
        </w:rPr>
        <w:t xml:space="preserve">магістр </w:t>
      </w:r>
      <w:r w:rsidRPr="00F26D9F">
        <w:rPr>
          <w:rFonts w:ascii="Times New Roman" w:hAnsi="Times New Roman" w:cs="Times New Roman"/>
          <w:sz w:val="28"/>
          <w:szCs w:val="28"/>
        </w:rPr>
        <w:t>за спеціальністю «Садово-паркове господарство»</w:t>
      </w:r>
    </w:p>
    <w:p w:rsidR="0063751E" w:rsidRPr="00F26D9F" w:rsidRDefault="0063751E" w:rsidP="0063751E">
      <w:pPr>
        <w:rPr>
          <w:rFonts w:ascii="Times New Roman" w:hAnsi="Times New Roman" w:cs="Times New Roman"/>
          <w:b/>
          <w:sz w:val="28"/>
          <w:szCs w:val="28"/>
        </w:rPr>
      </w:pPr>
    </w:p>
    <w:p w:rsidR="0063751E" w:rsidRDefault="0063751E" w:rsidP="0063751E">
      <w:pPr>
        <w:rPr>
          <w:rFonts w:ascii="Times New Roman" w:hAnsi="Times New Roman" w:cs="Times New Roman"/>
          <w:b/>
          <w:sz w:val="28"/>
          <w:szCs w:val="28"/>
        </w:rPr>
      </w:pPr>
    </w:p>
    <w:p w:rsidR="005A63E5" w:rsidRPr="00F26D9F" w:rsidRDefault="005A63E5" w:rsidP="006375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751E" w:rsidRPr="00F26D9F" w:rsidRDefault="0063751E" w:rsidP="005A63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 xml:space="preserve">ЗАТВЕРДЖЕНО ВЧЕНОЮ РАДОЮ </w:t>
      </w: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Голова вченої ради</w:t>
      </w: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___________________________ /____________________ /</w:t>
      </w: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(протокол №__ від "___"____________________2018 р.)</w:t>
      </w: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Освітня програма вводиться в дію з __________2018 р.</w:t>
      </w: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Ректор ___________________ /_____________________ /</w:t>
      </w: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t>(наказ №__ від "___"_______________________2018 р.)</w:t>
      </w:r>
    </w:p>
    <w:p w:rsidR="0063751E" w:rsidRPr="00F26D9F" w:rsidRDefault="0063751E" w:rsidP="006375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51E" w:rsidRPr="00F26D9F" w:rsidRDefault="0063751E" w:rsidP="0063751E">
      <w:pPr>
        <w:rPr>
          <w:rFonts w:ascii="Times New Roman" w:hAnsi="Times New Roman" w:cs="Times New Roman"/>
          <w:sz w:val="28"/>
          <w:szCs w:val="28"/>
        </w:rPr>
      </w:pP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D9F">
        <w:rPr>
          <w:rFonts w:ascii="Times New Roman" w:hAnsi="Times New Roman" w:cs="Times New Roman"/>
          <w:sz w:val="28"/>
          <w:szCs w:val="28"/>
        </w:rPr>
        <w:t>Умань - 2018</w:t>
      </w: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1E" w:rsidRPr="00F26D9F" w:rsidRDefault="0063751E" w:rsidP="00637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9F">
        <w:rPr>
          <w:rFonts w:ascii="Times New Roman" w:hAnsi="Times New Roman" w:cs="Times New Roman"/>
          <w:sz w:val="28"/>
          <w:szCs w:val="28"/>
        </w:rPr>
        <w:t>Розроблено робочою групою (науково-методичною комісією факультету лісового і садово-паркового-господарства) у складі:</w:t>
      </w:r>
    </w:p>
    <w:p w:rsidR="0063751E" w:rsidRPr="00F26D9F" w:rsidRDefault="0063751E" w:rsidP="0063751E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 w:rsidRPr="00F26D9F">
        <w:rPr>
          <w:sz w:val="28"/>
          <w:szCs w:val="28"/>
          <w:lang w:val="uk-UA"/>
        </w:rPr>
        <w:t>1. </w:t>
      </w:r>
      <w:r w:rsidRPr="00F26D9F">
        <w:rPr>
          <w:i/>
          <w:sz w:val="28"/>
          <w:szCs w:val="28"/>
          <w:lang w:val="uk-UA"/>
        </w:rPr>
        <w:t>Балабак Анатолій Федорович</w:t>
      </w:r>
      <w:r w:rsidRPr="00F26D9F">
        <w:rPr>
          <w:sz w:val="28"/>
          <w:szCs w:val="28"/>
          <w:lang w:val="uk-UA"/>
        </w:rPr>
        <w:t xml:space="preserve"> – доктор сільськогосподарських наук, професор, завідувач кафедри садово-паркового господарства Уманського національного університету садівництва;</w:t>
      </w:r>
    </w:p>
    <w:p w:rsidR="0063751E" w:rsidRPr="00F26D9F" w:rsidRDefault="0063751E" w:rsidP="0063751E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 w:rsidRPr="00F26D9F">
        <w:rPr>
          <w:sz w:val="28"/>
          <w:szCs w:val="28"/>
          <w:lang w:val="uk-UA"/>
        </w:rPr>
        <w:t xml:space="preserve">2. </w:t>
      </w:r>
      <w:r w:rsidRPr="00F26D9F">
        <w:rPr>
          <w:i/>
          <w:sz w:val="28"/>
          <w:szCs w:val="28"/>
          <w:lang w:val="uk-UA"/>
        </w:rPr>
        <w:t>Поліщук Валентин Васильович</w:t>
      </w:r>
      <w:r w:rsidRPr="00F26D9F">
        <w:rPr>
          <w:sz w:val="28"/>
          <w:szCs w:val="28"/>
          <w:lang w:val="uk-UA"/>
        </w:rPr>
        <w:t xml:space="preserve"> – доктор сільськогосподарських наук, професор, декан факультету лісового і садово-паркового господарства Уманського національного університету садівництва;</w:t>
      </w:r>
    </w:p>
    <w:p w:rsidR="0063751E" w:rsidRPr="00F26D9F" w:rsidRDefault="0063751E" w:rsidP="0063751E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 w:rsidRPr="00F26D9F">
        <w:rPr>
          <w:sz w:val="28"/>
          <w:szCs w:val="28"/>
          <w:lang w:val="uk-UA"/>
        </w:rPr>
        <w:t xml:space="preserve">3. </w:t>
      </w:r>
      <w:proofErr w:type="spellStart"/>
      <w:r w:rsidRPr="00F26D9F">
        <w:rPr>
          <w:i/>
          <w:sz w:val="28"/>
          <w:szCs w:val="28"/>
          <w:lang w:val="uk-UA"/>
        </w:rPr>
        <w:t>Шемякін</w:t>
      </w:r>
      <w:proofErr w:type="spellEnd"/>
      <w:r w:rsidRPr="00F26D9F">
        <w:rPr>
          <w:i/>
          <w:sz w:val="28"/>
          <w:szCs w:val="28"/>
          <w:lang w:val="uk-UA"/>
        </w:rPr>
        <w:t xml:space="preserve"> Михайло Васильович  </w:t>
      </w:r>
      <w:r w:rsidRPr="00F26D9F">
        <w:rPr>
          <w:sz w:val="28"/>
          <w:szCs w:val="28"/>
          <w:lang w:val="uk-UA"/>
        </w:rPr>
        <w:t>– кандидат сільськогосподарських наук, доцент, голова науково-методичної комісії факультету лісового і садово-паркового-господарства Уманського національного університету садівництва.</w:t>
      </w:r>
    </w:p>
    <w:p w:rsidR="0063751E" w:rsidRPr="00F26D9F" w:rsidRDefault="006375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9F">
        <w:rPr>
          <w:sz w:val="28"/>
          <w:szCs w:val="28"/>
        </w:rPr>
        <w:br w:type="page"/>
      </w:r>
    </w:p>
    <w:p w:rsidR="0063751E" w:rsidRPr="00F26D9F" w:rsidRDefault="0063751E" w:rsidP="0063751E">
      <w:pPr>
        <w:numPr>
          <w:ilvl w:val="0"/>
          <w:numId w:val="2"/>
        </w:num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Профіль освітньої програми із спеціальності 206 Садово-паркове господарство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9"/>
        <w:gridCol w:w="6758"/>
      </w:tblGrid>
      <w:tr w:rsidR="0063751E" w:rsidRPr="00F26D9F" w:rsidTr="0063751E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3751E" w:rsidRPr="00F26D9F" w:rsidRDefault="0063751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1 - Загальна інформація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Повна назва вищого навчального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Уманський національний університет садівництва</w:t>
            </w:r>
          </w:p>
          <w:p w:rsidR="0063751E" w:rsidRPr="00F26D9F" w:rsidRDefault="0063751E">
            <w:pPr>
              <w:spacing w:after="100" w:afterAutospacing="1" w:line="25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Факультет лісового і садово-паркового господарства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 w:rsidP="0063751E">
            <w:pPr>
              <w:shd w:val="clear" w:color="auto" w:fill="FFFFFF"/>
              <w:spacing w:after="0" w:line="264" w:lineRule="auto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магістр, </w:t>
            </w:r>
            <w:proofErr w:type="spellStart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магістр</w:t>
            </w:r>
            <w:proofErr w:type="spellEnd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спеціальністю «Садово-паркове господарство»</w:t>
            </w:r>
          </w:p>
        </w:tc>
      </w:tr>
      <w:tr w:rsidR="0063751E" w:rsidRPr="00F26D9F" w:rsidTr="0063751E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Тип диплому та обсяг освітньої </w:t>
            </w: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 w:rsidP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Диплом магістра, одиничний, 90 кр</w:t>
            </w:r>
            <w:r w:rsidR="00485F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едитів ЄКТС, термін навчання 1,4</w:t>
            </w:r>
            <w:r w:rsidRPr="00F26D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63751E" w:rsidRPr="00F26D9F" w:rsidTr="0063751E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Наявність акредитації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наказ МОН №3101л від 31.12.2009</w:t>
            </w:r>
          </w:p>
        </w:tc>
      </w:tr>
      <w:tr w:rsidR="0063751E" w:rsidRPr="00F26D9F" w:rsidTr="0063751E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Цикл\рівень</w:t>
            </w:r>
            <w:proofErr w:type="spellEnd"/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 w:rsidP="00637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НРК України –7 рівень, FQ-EHEA – другий цикл</w:t>
            </w:r>
          </w:p>
        </w:tc>
      </w:tr>
      <w:tr w:rsidR="0063751E" w:rsidRPr="00F26D9F" w:rsidTr="0063751E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Передумови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1E" w:rsidRPr="00F26D9F" w:rsidRDefault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Особа має право здобувати ступінь магістра за умови наявності ступеня бакалавра (освітньо-кваліфікаційного рівня спеціаліст).</w:t>
            </w:r>
          </w:p>
        </w:tc>
      </w:tr>
      <w:tr w:rsidR="0063751E" w:rsidRPr="00F26D9F" w:rsidTr="0063751E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Мова(и) викладання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Мова викладання регламентується чинним законодавством України та «Положенням про організацію освітнього процесу в Уманському національному університеті садівництва» </w:t>
            </w:r>
          </w:p>
        </w:tc>
      </w:tr>
      <w:tr w:rsidR="0063751E" w:rsidRPr="00F26D9F" w:rsidTr="0063751E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Термін дії освітньої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планового оновлення</w:t>
            </w:r>
          </w:p>
        </w:tc>
      </w:tr>
      <w:tr w:rsidR="0063751E" w:rsidRPr="00F26D9F" w:rsidTr="0063751E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Інтернет-адреса</w:t>
            </w:r>
            <w:proofErr w:type="spellEnd"/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постійного розміщення опису освітньої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http://ects.udau.edu.ua/ua/informaciya-po-programam.html?level=bachelor</w:t>
            </w:r>
          </w:p>
        </w:tc>
      </w:tr>
      <w:tr w:rsidR="0063751E" w:rsidRPr="00F26D9F" w:rsidTr="0063751E">
        <w:trPr>
          <w:trHeight w:val="6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3751E" w:rsidRPr="00F26D9F" w:rsidRDefault="0063751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E7E6E6"/>
                <w:lang w:eastAsia="ru-RU"/>
              </w:rPr>
              <w:t>2 - Мета освітньої програми</w:t>
            </w:r>
          </w:p>
        </w:tc>
      </w:tr>
      <w:tr w:rsidR="0063751E" w:rsidRPr="00F26D9F" w:rsidTr="0063751E">
        <w:trPr>
          <w:trHeight w:val="6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Забезпечити здобуття студентами поглиблених </w:t>
            </w:r>
            <w:proofErr w:type="spellStart"/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спеціальністю «Садово-паркове господарство»; освоєння засад методології професійної та наукової діяльності, інших </w:t>
            </w:r>
            <w:proofErr w:type="spellStart"/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достатніх для ефективного виконання завдань відповідного рівня професійної діяльності фахівця садово-паркового господарства.</w:t>
            </w:r>
          </w:p>
        </w:tc>
      </w:tr>
      <w:tr w:rsidR="0063751E" w:rsidRPr="00F26D9F" w:rsidTr="0063751E">
        <w:trPr>
          <w:trHeight w:val="6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3751E" w:rsidRPr="00F26D9F" w:rsidRDefault="0063751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3 - Характеристика освітньої програми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Предметна область, галузь знань, спеціальність</w:t>
            </w: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1E" w:rsidRPr="00F26D9F" w:rsidRDefault="0063751E" w:rsidP="00637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Передбачає опанування майбутнім фахівцем комплексу знань, умінь та навичок для застосування в професійній діяльності у сфері ландшафтної архітектури, спрямованих на вирішення комплексних задач із створення та експлуатації садово-паркових об’єктів. </w:t>
            </w:r>
          </w:p>
          <w:p w:rsidR="0063751E" w:rsidRPr="00F26D9F" w:rsidRDefault="0063751E" w:rsidP="00637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галузь знань – 20 Аграрні науки та продовольство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спеціальність 206 Садово-паркове господарство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Орієнтація освітньої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академічна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Основний фокус освітньої програми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та спеціалізації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загальна вища освіта в галузі знань 20 «Аграрні науки та продовольство»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6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Особливості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Особливістю програми є її орієнтація на підготовку фахівців для організації робіт садово-паркового господарства у південному сухо-степовому регіоні, згідно з чим передбачено проведення виробничої практики у провідних господарствах Півдня України.</w:t>
            </w:r>
          </w:p>
        </w:tc>
      </w:tr>
      <w:tr w:rsidR="0063751E" w:rsidRPr="00F26D9F" w:rsidTr="0063751E">
        <w:trPr>
          <w:trHeight w:val="84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3751E" w:rsidRPr="00F26D9F" w:rsidRDefault="0063751E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4.Придатність випускників</w:t>
            </w:r>
          </w:p>
          <w:p w:rsidR="0063751E" w:rsidRPr="00F26D9F" w:rsidRDefault="0063751E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 працевлаштування та подальшого навчання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51E" w:rsidRPr="00F26D9F" w:rsidRDefault="0063751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Придатність </w:t>
            </w:r>
          </w:p>
          <w:p w:rsidR="0063751E" w:rsidRPr="00F26D9F" w:rsidRDefault="0063751E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 працевлаштування </w:t>
            </w:r>
          </w:p>
          <w:p w:rsidR="0063751E" w:rsidRPr="00F26D9F" w:rsidRDefault="0063751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 w:rsidP="0063751E">
            <w:pPr>
              <w:shd w:val="clear" w:color="auto" w:fill="FFFFFF"/>
              <w:spacing w:after="0" w:line="264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ab/>
              <w:t>Фахівець підготовлений до роботи за видом економічної діяльності згідно галузевого стандарту вищої освіти з напряму лісове і садово-паркове господарство та Державного класифікатора професій ДК 003:2010.</w:t>
            </w:r>
          </w:p>
          <w:p w:rsidR="0063751E" w:rsidRPr="00F26D9F" w:rsidRDefault="0063751E" w:rsidP="0063751E">
            <w:pPr>
              <w:shd w:val="clear" w:color="auto" w:fill="FFFFFF"/>
              <w:spacing w:after="0" w:line="264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Вони можуть займати первинні посади: фахівець садово-паркового господарства, інженер садово-паркового господарства, садівник, фахівець з квітникарства, озеленювач, оператор технологічного устаткування в спорудах захищеного ґрунту, робітник зеленого будівництва, дослідник із плодоовочівництва та виноградарства, інженер з рекреаційного благоустрою, начальник дослідної лабораторії, начальник проектно-кошторисного бюро (групи), директор (керівник) малого підприємства сільськогосподарського, науковий співробітник (агрономія, лісівництво, лісомеліорація), агролісомеліоратор, інженер з лісовідновлення, Інженер з охорони та захисту лісу, інженер лісопатолог, асистент, викладач вищого навчального закладу, викладач професійного навчально-виховного закладу.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Подальше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3"/>
                <w:lang w:eastAsia="uk-UA"/>
              </w:rPr>
              <w:t>Можливість навчатися за програмами третього циклу; можливість отримати необхідну кваліфікацію для викладання у ВНЗ.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3751E" w:rsidRPr="00F26D9F" w:rsidRDefault="0063751E">
            <w:pPr>
              <w:spacing w:after="120" w:line="264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5- Викладання та оцінювання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Викладання та 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 w:rsidP="0063751E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Основними підходами є </w:t>
            </w:r>
            <w:proofErr w:type="spellStart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студентоцентроване</w:t>
            </w:r>
            <w:proofErr w:type="spellEnd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проблемно-орієнтоване навчання, самонавчання і навчання на основі досліджень. </w:t>
            </w:r>
          </w:p>
          <w:p w:rsidR="0063751E" w:rsidRPr="00F26D9F" w:rsidRDefault="0063751E" w:rsidP="0063751E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Викладання проводиться у вигляді лекцій, лабораторних і практичних занять, консультацій, практики з акцентом на особистісному саморозвитку, груповій, самостійній та проектній роботі. Навчання критиці власної роботи, конструктивній критиці роботи інших, продуктивному використанню критичних зауважень з боку інших. </w:t>
            </w:r>
          </w:p>
          <w:p w:rsidR="0063751E" w:rsidRPr="00F26D9F" w:rsidRDefault="0063751E" w:rsidP="0063751E">
            <w:pPr>
              <w:spacing w:after="0" w:line="257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Напрям дослідження студент обирає протягом першого року навчання. В останній рік навчання більше часу присвячується проведенню практичної частини дослідження, написанню магістерської роботи та підготовці її презентації.</w:t>
            </w:r>
          </w:p>
        </w:tc>
      </w:tr>
      <w:tr w:rsidR="0063751E" w:rsidRPr="00F26D9F" w:rsidTr="0063751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51E" w:rsidRPr="00F26D9F" w:rsidRDefault="0063751E">
            <w:pPr>
              <w:widowControl w:val="0"/>
              <w:tabs>
                <w:tab w:val="left" w:pos="426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Бально-рейтингова система за якою оцінювання студентів проводиться з врахуванням усіх видів аудиторної та поза аудиторної діяльності: поточний та підсумковий контроль, модульні контрольні, розрахункові та проектні роботи, тестування, реферати, презентації, практика тощо. </w:t>
            </w:r>
          </w:p>
          <w:p w:rsidR="0063751E" w:rsidRPr="00F26D9F" w:rsidRDefault="0063751E">
            <w:pPr>
              <w:widowControl w:val="0"/>
              <w:tabs>
                <w:tab w:val="left" w:pos="426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>Захист випускної кваліфікаційної роботи.</w:t>
            </w:r>
          </w:p>
        </w:tc>
      </w:tr>
      <w:tr w:rsidR="0063751E" w:rsidRPr="00F26D9F" w:rsidTr="0063751E">
        <w:trPr>
          <w:trHeight w:val="2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3751E" w:rsidRPr="00F26D9F" w:rsidRDefault="0063751E">
            <w:pPr>
              <w:shd w:val="clear" w:color="auto" w:fill="FFFFFF"/>
              <w:tabs>
                <w:tab w:val="center" w:pos="4833"/>
                <w:tab w:val="left" w:pos="7200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6 - </w:t>
            </w:r>
            <w:r w:rsidRPr="00F26D9F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Програмні компетентності</w:t>
            </w:r>
          </w:p>
        </w:tc>
      </w:tr>
      <w:tr w:rsidR="0063751E" w:rsidRPr="00F26D9F" w:rsidTr="0063751E">
        <w:trPr>
          <w:trHeight w:val="1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31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751E" w:rsidRPr="00F26D9F" w:rsidRDefault="0063751E">
            <w:pPr>
              <w:shd w:val="clear" w:color="auto" w:fill="FFFFFF"/>
              <w:spacing w:after="0" w:line="264" w:lineRule="auto"/>
              <w:ind w:left="3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Інтегральна</w:t>
            </w:r>
          </w:p>
          <w:p w:rsidR="0063751E" w:rsidRPr="00F26D9F" w:rsidRDefault="0063751E">
            <w:pPr>
              <w:shd w:val="clear" w:color="auto" w:fill="FFFFFF"/>
              <w:spacing w:after="0" w:line="264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компетентність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Здатність розв’язувати складні спеціалізовані задачі та практичні проблеми </w:t>
            </w:r>
            <w:r w:rsidRPr="00F26D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зі створення садово-паркових композицій, інвентаризації, догляду за зеленими насадженнями, вирощування посадкового матеріалу декоративних рослин.</w:t>
            </w:r>
          </w:p>
        </w:tc>
      </w:tr>
      <w:tr w:rsidR="0063751E" w:rsidRPr="00F26D9F" w:rsidTr="0063751E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Загальні </w:t>
            </w:r>
            <w:r w:rsidRPr="00F26D9F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компетентності</w:t>
            </w:r>
          </w:p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3751E" w:rsidRPr="00F26D9F" w:rsidRDefault="0063751E">
            <w:pPr>
              <w:shd w:val="clear" w:color="auto" w:fill="FFFFFF"/>
              <w:spacing w:after="0" w:line="264" w:lineRule="auto"/>
              <w:ind w:left="3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55" w:rsidRPr="00F26D9F" w:rsidRDefault="0063751E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ЗК 1. 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до абстрактного мислення, аналізу та синтезу;</w:t>
            </w:r>
          </w:p>
          <w:p w:rsidR="00751B55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ЗК 2. Здатність організації і проведення наукового дослідження;</w:t>
            </w:r>
          </w:p>
          <w:p w:rsidR="0063751E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ЗК 3. 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до самостійного навчання новим методам дослідження, до зміни наукового і науково-виробничого профілю своєї професійної діяльності;</w:t>
            </w:r>
          </w:p>
          <w:p w:rsidR="0063751E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ЗК 4. 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Використання на практиці вмінь та навичок в організації дослідних проектних робіт, в управлінні колективом;</w:t>
            </w:r>
          </w:p>
          <w:p w:rsidR="0063751E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ЗК 5. 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самостійно здобувати за допомогою інформаційних технологій і використовувати в практичній діяльності нові знання і вміння, в тому числі в нових галу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зях знань, безпосередньо не пов’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язаних зі сферою діяльності;</w:t>
            </w:r>
          </w:p>
          <w:p w:rsidR="0063751E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ЗК 6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Використання базових знань з основ охорони праці, безпеки життєдіяльності та цивільного захисту під час вирішення прикладних задач в галузі садово-паркового господарства;</w:t>
            </w:r>
          </w:p>
          <w:p w:rsidR="0063751E" w:rsidRPr="00F26D9F" w:rsidRDefault="0063751E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ЗК 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Використання знань педагогіки та психології для викладання спеціальних предметів та дисциплін у освітніх закладах України;</w:t>
            </w:r>
          </w:p>
          <w:p w:rsidR="00751B55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ЗК 8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оцінити результати наукового дослідження і приймати обґрунтовані рішення;</w:t>
            </w:r>
          </w:p>
          <w:p w:rsidR="00751B55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ЗК 9. Здатність організації і проведення наукового дослідження</w:t>
            </w:r>
          </w:p>
          <w:p w:rsidR="0063751E" w:rsidRPr="00F26D9F" w:rsidRDefault="00751B55" w:rsidP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ЗК 10. 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спілкуватися іноземною мовою.</w:t>
            </w:r>
          </w:p>
        </w:tc>
      </w:tr>
      <w:tr w:rsidR="0063751E" w:rsidRPr="00F26D9F" w:rsidTr="0063751E">
        <w:trPr>
          <w:trHeight w:val="7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Фахові к</w:t>
            </w:r>
            <w:r w:rsidRPr="00F26D9F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омпетентності спеціальності (ФК)</w:t>
            </w:r>
          </w:p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3751E" w:rsidRPr="00F26D9F" w:rsidRDefault="0063751E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B55" w:rsidRPr="00F26D9F" w:rsidRDefault="006375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1.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Здатність вільно спілкуватися державною та іноземною мовами;</w:t>
            </w:r>
          </w:p>
          <w:p w:rsidR="00751B55" w:rsidRPr="00F26D9F" w:rsidRDefault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2. Здатність розробляти технології вирощування посадкового матеріалу декоративних рослин і проводити оцінку економічної ефективності та інноваційно-технологічних ризиків при впровадженні нових технологій;</w:t>
            </w:r>
          </w:p>
          <w:p w:rsidR="0063751E" w:rsidRPr="00F26D9F" w:rsidRDefault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</w:t>
            </w:r>
            <w:r w:rsidRPr="00F26D9F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 xml:space="preserve"> 3.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до проектування інженерної підготовки території, будівництва і утримання об'єктів садово-паркового господарства;</w:t>
            </w:r>
          </w:p>
          <w:p w:rsidR="0063751E" w:rsidRPr="00F26D9F" w:rsidRDefault="00751B55">
            <w:pPr>
              <w:shd w:val="clear" w:color="auto" w:fill="FFFFFF"/>
              <w:spacing w:after="0" w:line="300" w:lineRule="exact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4. </w:t>
            </w:r>
            <w:r w:rsidRPr="00F26D9F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Здатність проводити оцінку ефективності використання матеріалів, устаткування, технологічних процесів на об’єктах садово-паркового господарства;</w:t>
            </w:r>
          </w:p>
          <w:p w:rsidR="00751B55" w:rsidRPr="00F26D9F" w:rsidRDefault="00751B55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5. Здатність виконувати оцінку впливу заходів з раціонального використання і управлінню садово-парковими ландшафтами;</w:t>
            </w:r>
          </w:p>
          <w:p w:rsidR="00751B55" w:rsidRPr="00F26D9F" w:rsidRDefault="00751B55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6. Здатність реалізовувати заходи з благоустрою та озеленення територій;</w:t>
            </w:r>
          </w:p>
          <w:p w:rsidR="00751B55" w:rsidRPr="00F26D9F" w:rsidRDefault="00751B55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7. Здатність розробки і реалізації системи заходів зі збереження насаджень;</w:t>
            </w:r>
          </w:p>
          <w:p w:rsidR="00751B55" w:rsidRPr="00F26D9F" w:rsidRDefault="00751B55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8. Здатність організації робіт з </w:t>
            </w:r>
            <w:proofErr w:type="spellStart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урбомоніторингу</w:t>
            </w:r>
            <w:proofErr w:type="spellEnd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інвентаризації об'єктів садово-паркового господарства, складанню кадастру зелених насаджень;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9.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організації і проведення робіт на об'єктах садово-паркового господарства;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10. Здатність управління об’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єктами садово-паркового господарства з їх функціонального використання, охорони і захисту;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11. Здатність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проводити оцінку виробничих і невиробничих витрат на забезпечення якості, здійснювати технічний контроль, авторський нагляд за виробничою і проектною діяльністю;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12. Здатність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проведення оцінки вартості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об’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єктів інтелектуальної діяльності в галузі садово-паркового господарства;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ФК 12. Готовність 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отримання нових знань і проведення прикладних досліджень в галузі садово-паркового господарства;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13. Здатність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розробки робочих планів і програм наукових досліджень в галузі садово-паркового господарства, організувати збір, обробку, аналіз і систематизація науково-технічної інформації з теми дослідження, вибір методики і засобів рішення завдань;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14. Здатність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здійснювати планувальну організацію відкритих просторів, проектування об'єктів садово-паркового господарства, розробляти проекти відновлення об'єктів культурної спадщини;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15. Здатність роботи в команді фахівців, пов’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язаній із розвитком територій на етапі територіального планування і підготовки генпланів поселень і міської агломерації;</w:t>
            </w:r>
          </w:p>
          <w:p w:rsidR="00751B55" w:rsidRPr="00F26D9F" w:rsidRDefault="00D57A9F" w:rsidP="00751B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16. Здатність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проводити технічні розрахунки в проектах, техніко-економічне обґрунтування і функціонально-вартісний аналіз ефективності проектованих заходів, прогнозування наслідків, знаходження компромісних рішень в плануванні і реалізації проектів;</w:t>
            </w:r>
          </w:p>
          <w:p w:rsidR="0063751E" w:rsidRPr="00F26D9F" w:rsidRDefault="00D57A9F" w:rsidP="00D57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ФК 17. Здатність</w:t>
            </w:r>
            <w:r w:rsidR="00751B55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розробки методичних і нормативних документів для проектування об'єктів садово-паркового господарства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</w:t>
            </w:r>
            <w:r w:rsidR="0063751E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51E" w:rsidRPr="00F26D9F" w:rsidTr="0063751E">
        <w:trPr>
          <w:trHeight w:val="5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3751E" w:rsidRPr="00F26D9F" w:rsidRDefault="0063751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7. Програмні результати навчання</w:t>
            </w:r>
          </w:p>
        </w:tc>
      </w:tr>
      <w:tr w:rsidR="0063751E" w:rsidRPr="00F26D9F" w:rsidTr="0063751E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1E" w:rsidRPr="00F26D9F" w:rsidRDefault="0063751E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A9F" w:rsidRPr="00F26D9F" w:rsidRDefault="0063751E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1. </w:t>
            </w:r>
            <w:r w:rsidR="00D57A9F"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Набуття загальних знань та вмінь з проектування технологічних процесів робіт з інженерної  підготовки території, об’єктів садово-паркового господарства та ландшафтної архітектури, формування стійкого та безпечного середовища існування для людини;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2. Набуття загальних знань та вмінь з використання базових знань з основ охорони праці, безпеки життєдіяльності та цивільного захисту під час вирішення прикладних задач в галузі садово-паркового господарства;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3. Здатність застосовувати на практиці знання та навички спеціальних дисциплін для організації досліджень та створення проектних робіт у садово-парковому господарстві;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ПРН 4. Здатність до самостійної організації діяльності, дослідів, постановки експерименту;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5. Набуття спеціальних знань та вмінь з розробки технічних завдань і реалізації системи заходів щодо зовнішнього благоустрою та озеленення територій для створення сприятливих санітарно-гігієнічних умов, підвищення рівня комфортності перебування людини в міському середовищі, її загального естетичного збагачення;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6. Набуття загальних знань та вмінь з розробки та реалізації системи заходів щодо збереження зелених насаджень високої природоохоронної цінності, щодо забезпечення їх середовище утворюючих, водоохоронних, захисних, санітарно-гігієнічних і інших функцій;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7. Набуття загальних знань та вмінь зі здійснення робіт з </w:t>
            </w:r>
            <w:proofErr w:type="spellStart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урбомоніторінгу</w:t>
            </w:r>
            <w:proofErr w:type="spellEnd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обліку зелених насаджень; зі складання кадастру зелених насаджень;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8. Набуття спеціальних знань та вмінь зі збереження і збільшення біологічного різноманіття на об’єктах садово-паркового господарства та ландшафтної архітектури, підвищення їх екологічного потенціалу;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9. Набуття спеціальних знань, вмінь та навичок з розробки сучасних технологій вирощування посадкового матеріалу: вирощування у відкритому і закритому ґрунті декоративних дерев та чагарників, квіткових культур, газонів і оцінка економічної ефективності технологічних процесів;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10. Набуття спеціальних знань та вмінь з організації і проведення робіт з інженерної підготовки територій, будівництва та утримання об’єктів садово-паркового господарства та ландшафтної архітектури;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11. Набуття спеціальних знань та вмінь з організації і здійснення державного контролю та нагляду за дотриманням правил утримання об’єктів ландшафтної архітектури;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12. Набуття загальних знань, вмінь та навичок зі збору, обробки, аналізу і систематизації науково-технічної інформації з теми дослідження, вибір методик і засобів вирішення завдань;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ПРН 13. Набуття спеціальних знань, вмінь та навичок з участі в науково-дослідній діяльності з аналізу стану і динаміки показників якості об’єктів озеленення, садово-паркового господарства та ландшафтної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архітектури, природних і культурних ландшафтів, декоративних розсадників;</w:t>
            </w:r>
          </w:p>
          <w:p w:rsidR="00D57A9F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14. Набуття загальних знань та вмінь з організації відкритих просторів, дизайну зовнішнього середовища; проектування об’єктів озеленення, садово-паркового господарства та ландшафтної архітектури; розробки проектів реставрації та реконструкції об’єктів озеленення, культурної спадщини;</w:t>
            </w:r>
          </w:p>
          <w:p w:rsidR="0063751E" w:rsidRPr="00F26D9F" w:rsidRDefault="00D57A9F" w:rsidP="00D57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ПРН 15. Набуття спеціальних знань, вмінь та навичок з проектування зимових садів в інтер’єрах офісних і житлових будівель, проектування озеленених і експлуатованих покрівель, проектування об’єктів для виробництва посадкового матеріалу: декоративних та плодових розсадників,  оранжерейних і тепличних комплексів.</w:t>
            </w:r>
          </w:p>
        </w:tc>
      </w:tr>
      <w:tr w:rsidR="0063751E" w:rsidRPr="00F26D9F" w:rsidTr="0063751E">
        <w:trPr>
          <w:trHeight w:val="5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3751E" w:rsidRPr="00F26D9F" w:rsidRDefault="0063751E" w:rsidP="00D57A9F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8 - Ресурсне забезпечення реалізації програми</w:t>
            </w:r>
          </w:p>
        </w:tc>
      </w:tr>
      <w:tr w:rsidR="0063751E" w:rsidRPr="00F26D9F" w:rsidTr="0063751E">
        <w:trPr>
          <w:trHeight w:hRule="exact"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1E" w:rsidRPr="00F26D9F" w:rsidRDefault="0063751E">
            <w:pPr>
              <w:shd w:val="clear" w:color="auto" w:fill="FFFFFF"/>
              <w:spacing w:after="0" w:line="290" w:lineRule="exact"/>
              <w:ind w:left="7" w:firstLine="2"/>
              <w:jc w:val="both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Кадрове забезпечення </w:t>
            </w:r>
          </w:p>
          <w:p w:rsidR="0063751E" w:rsidRPr="00F26D9F" w:rsidRDefault="0063751E">
            <w:pPr>
              <w:shd w:val="clear" w:color="auto" w:fill="FFFFFF"/>
              <w:spacing w:after="0" w:line="290" w:lineRule="exact"/>
              <w:ind w:left="7" w:firstLine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eastAsia="ru-RU"/>
              </w:rPr>
              <w:t>Відповідає ліцензійним вимогам щодо кадрового забезпечення. Підвищення кваліфікації науково-</w:t>
            </w:r>
            <w:r w:rsidRPr="00F26D9F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педагогічних, педагогічних та наукових </w:t>
            </w:r>
            <w:r w:rsidRPr="00F26D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працівників відбувається</w:t>
            </w:r>
            <w:r w:rsidRPr="00F26D9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кожні 5 років. </w:t>
            </w: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51E" w:rsidRPr="00F26D9F" w:rsidTr="0063751E">
        <w:trPr>
          <w:trHeight w:hRule="exact" w:val="2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>
            <w:pPr>
              <w:shd w:val="clear" w:color="auto" w:fill="FFFFFF"/>
              <w:spacing w:after="0" w:line="295" w:lineRule="exact"/>
              <w:ind w:left="2" w:right="5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Матеріально-технічне забезпечення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>
            <w:pPr>
              <w:shd w:val="clear" w:color="auto" w:fill="FFFFFF"/>
              <w:spacing w:after="0" w:line="264" w:lineRule="auto"/>
              <w:ind w:lef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Навчально-науково-виробнича база у вигляді навчальних приміщень, демонстраційно-навчальних, дослідних насаджень, мультимедійного обладнання. Наукова, навчальна, методична література та посібники для студентів  спеціальності садово-паркове господарство. </w:t>
            </w:r>
          </w:p>
        </w:tc>
      </w:tr>
      <w:tr w:rsidR="0063751E" w:rsidRPr="00F26D9F" w:rsidTr="0063751E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>
            <w:pPr>
              <w:shd w:val="clear" w:color="auto" w:fill="FFFFFF"/>
              <w:spacing w:after="0" w:line="288" w:lineRule="exact"/>
              <w:ind w:left="2"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Інформаційне та навчально-методичне забезпечення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>
            <w:pPr>
              <w:spacing w:after="12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Офіційний веб-сайт http://www.udau.edu.uaмістить інформацію про освітні програми, навчальну, наукову і виховну діяльність, структурні підрозділи, правила прийому, контакти. У </w:t>
            </w:r>
            <w:proofErr w:type="spellStart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репозитарію</w:t>
            </w:r>
            <w:proofErr w:type="spellEnd"/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УНУС http://lib.udau.edu.ua можна ознайомитись з авторськими розробками професорсько-викладацького складу.</w:t>
            </w:r>
          </w:p>
        </w:tc>
      </w:tr>
      <w:tr w:rsidR="0063751E" w:rsidRPr="00F26D9F" w:rsidTr="0063751E">
        <w:trPr>
          <w:trHeight w:val="30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3751E" w:rsidRPr="00F26D9F" w:rsidRDefault="0063751E">
            <w:pPr>
              <w:spacing w:after="12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eastAsia="ru-RU"/>
              </w:rPr>
              <w:t>9- Академічна мобільність</w:t>
            </w:r>
          </w:p>
        </w:tc>
      </w:tr>
      <w:tr w:rsidR="0063751E" w:rsidRPr="00F26D9F" w:rsidTr="0063751E">
        <w:trPr>
          <w:trHeight w:val="7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51E" w:rsidRPr="00F26D9F" w:rsidRDefault="00637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Індивідуальні угоди про академічну мобільність для навчання та проведення досліджень в університетах та спеціалізованих підприємствах України.</w:t>
            </w:r>
          </w:p>
        </w:tc>
      </w:tr>
    </w:tbl>
    <w:p w:rsidR="004B07B9" w:rsidRDefault="004B07B9" w:rsidP="0063751E">
      <w:pPr>
        <w:spacing w:after="120" w:line="26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07B9" w:rsidRDefault="004B07B9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63751E" w:rsidRPr="00F26D9F" w:rsidRDefault="0063751E" w:rsidP="0063751E">
      <w:pPr>
        <w:pStyle w:val="af2"/>
        <w:numPr>
          <w:ilvl w:val="0"/>
          <w:numId w:val="2"/>
        </w:numPr>
        <w:spacing w:after="120"/>
        <w:jc w:val="center"/>
        <w:rPr>
          <w:sz w:val="28"/>
          <w:szCs w:val="28"/>
          <w:lang w:val="uk-UA"/>
        </w:rPr>
      </w:pPr>
      <w:r w:rsidRPr="00F26D9F">
        <w:rPr>
          <w:b/>
          <w:sz w:val="28"/>
          <w:lang w:val="uk-UA"/>
        </w:rPr>
        <w:lastRenderedPageBreak/>
        <w:t xml:space="preserve">Перелік компонент освітньої програми 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1129"/>
        <w:gridCol w:w="5213"/>
        <w:gridCol w:w="1417"/>
        <w:gridCol w:w="2171"/>
      </w:tblGrid>
      <w:tr w:rsidR="0063751E" w:rsidRPr="00F26D9F" w:rsidTr="00D57A9F">
        <w:trPr>
          <w:trHeight w:val="10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63751E" w:rsidRPr="00F26D9F" w:rsidRDefault="0063751E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Код н/д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63751E" w:rsidRPr="00F26D9F" w:rsidRDefault="0063751E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Компоненти освітньої програми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63751E" w:rsidRPr="00F26D9F" w:rsidRDefault="0063751E">
            <w:pPr>
              <w:widowControl w:val="0"/>
              <w:tabs>
                <w:tab w:val="left" w:pos="2694"/>
              </w:tabs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Кількість кредитів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63751E" w:rsidRPr="00F26D9F" w:rsidRDefault="0063751E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</w:tr>
      <w:tr w:rsidR="0063751E" w:rsidRPr="00F26D9F" w:rsidTr="00D57A9F">
        <w:trPr>
          <w:trHeight w:val="227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63751E" w:rsidRPr="00F26D9F" w:rsidRDefault="0063751E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Обов’язкові компоненти ОП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Інтелектуальна власність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Ділова іноземна 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Охорона праці в галузі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Агротехніка зеленого будівництва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Дендропроектування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 xml:space="preserve">Консервація, реставрація та реконструкція </w:t>
            </w:r>
            <w:proofErr w:type="spellStart"/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сп</w:t>
            </w:r>
            <w:proofErr w:type="spellEnd"/>
            <w:r w:rsidRPr="00F26D9F">
              <w:rPr>
                <w:rFonts w:ascii="Times New Roman" w:hAnsi="Times New Roman" w:cs="Times New Roman"/>
                <w:sz w:val="28"/>
                <w:szCs w:val="20"/>
              </w:rPr>
              <w:t xml:space="preserve"> об'єктів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курсовий проект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Тепличне господарство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Експлуатація садово-паркових об'єктів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172FEB">
        <w:trPr>
          <w:trHeight w:val="5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F26D9F">
              <w:rPr>
                <w:rFonts w:ascii="Times New Roman" w:hAnsi="Times New Roman" w:cs="Times New Roman"/>
                <w:sz w:val="28"/>
                <w:szCs w:val="20"/>
              </w:rPr>
              <w:t>Декоративне садівництво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4B07B9" w:rsidRDefault="00D5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54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Загальний обсяг обов’язкових компонент: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34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tabs>
                <w:tab w:val="left" w:pos="277"/>
              </w:tabs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Вибіркові компоненти ОП</w:t>
            </w:r>
          </w:p>
        </w:tc>
      </w:tr>
      <w:tr w:rsidR="00D57A9F" w:rsidRPr="00F26D9F" w:rsidTr="00D57A9F">
        <w:trPr>
          <w:trHeight w:val="57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tabs>
                <w:tab w:val="left" w:pos="277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F26D9F">
              <w:rPr>
                <w:b/>
                <w:sz w:val="28"/>
                <w:szCs w:val="28"/>
              </w:rPr>
              <w:t xml:space="preserve"> </w:t>
            </w:r>
            <w:r w:rsidRPr="00F26D9F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Професійно-орієнтовані дисципліни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ВБ 1.1.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Методологія наукових досліджень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ВБ 1.2.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Садово-паркова композиція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Комп'ютерне проектування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Дендроекологія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Фітодизайн закритого середовища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 фітоценологія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Архітектоніка рослин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1.8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Психологія управління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Заповідне </w:t>
            </w:r>
            <w:proofErr w:type="spellStart"/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паркознавство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Чинники успішного працевлаштування за фахом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Паркознавство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Фахова термінологія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Бухгалтерський облік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Біоніка рослин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ГІС в садово-парковому господарстві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172FEB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Тепличне господарство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 w:cs="Times New Roman"/>
                <w:b/>
                <w:sz w:val="28"/>
                <w:szCs w:val="28"/>
              </w:rPr>
              <w:t>2. Дисципліни вільного вибору студента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2.1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Сучасні технології зеленого господарства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ВБ 2.2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Організація і планування зеленого господарства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Лісопаркове господарство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Містобудівельне законодавство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3366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3366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 w:rsidP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Загальний обсяг вибіркових компонент: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Навчальна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A9F" w:rsidRPr="00F26D9F" w:rsidRDefault="00D57A9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A9F" w:rsidRPr="00F26D9F" w:rsidRDefault="00D57A9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Екзаменаційна сесія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7A9F" w:rsidRPr="00F26D9F" w:rsidRDefault="00D57A9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дипломної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Підсумкова атестація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A9F" w:rsidRPr="00F26D9F" w:rsidRDefault="00D57A9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A9F" w:rsidRPr="00F26D9F" w:rsidTr="00D57A9F">
        <w:trPr>
          <w:trHeight w:val="405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ЗАГАЛЬНИЙ ОБСЯГ ОСВІТНЬОЇ ПРОГРАМИ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9F" w:rsidRPr="00F26D9F" w:rsidRDefault="00D57A9F" w:rsidP="00D57A9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9F" w:rsidRPr="00F26D9F" w:rsidRDefault="00D57A9F">
            <w:pPr>
              <w:spacing w:before="100" w:beforeAutospacing="1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51E" w:rsidRPr="00F26D9F" w:rsidRDefault="0063751E" w:rsidP="0063751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751E" w:rsidRPr="00F26D9F" w:rsidRDefault="0063751E" w:rsidP="0063751E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F26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атестації здобувачів вищої освіти</w:t>
      </w:r>
    </w:p>
    <w:p w:rsidR="0063751E" w:rsidRPr="00F26D9F" w:rsidRDefault="0063751E" w:rsidP="0063751E">
      <w:pPr>
        <w:widowControl w:val="0"/>
        <w:tabs>
          <w:tab w:val="left" w:pos="426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751E" w:rsidRPr="00F26D9F" w:rsidRDefault="0063751E" w:rsidP="0063751E">
      <w:pPr>
        <w:widowControl w:val="0"/>
        <w:tabs>
          <w:tab w:val="left" w:pos="426"/>
          <w:tab w:val="left" w:pos="7371"/>
        </w:tabs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D9F">
        <w:rPr>
          <w:rFonts w:ascii="Times New Roman" w:eastAsia="Calibri" w:hAnsi="Times New Roman" w:cs="Times New Roman"/>
          <w:sz w:val="28"/>
          <w:szCs w:val="28"/>
          <w:lang w:eastAsia="ru-RU"/>
        </w:rPr>
        <w:t>Атестація випускників освітньої програми спеціальності 206 «Садово-паркове господарство» здійснюється у формі єдиного державного кваліфікаційного іспиту та завершується видачею документу встановленого зразка про присудження ступеня бакалавра із присвоєнням кваліфікації: Бакалавр за спеціальністю «Садово-паркове господарство».</w:t>
      </w:r>
    </w:p>
    <w:p w:rsidR="0063751E" w:rsidRPr="00F26D9F" w:rsidRDefault="0063751E" w:rsidP="0063751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D9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63751E" w:rsidRPr="00F26D9F" w:rsidRDefault="0063751E" w:rsidP="006375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3751E" w:rsidRPr="00F26D9F">
          <w:pgSz w:w="11906" w:h="16838"/>
          <w:pgMar w:top="1134" w:right="851" w:bottom="1134" w:left="1418" w:header="709" w:footer="709" w:gutter="0"/>
          <w:cols w:space="720"/>
        </w:sectPr>
      </w:pP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 w:rsidRPr="00F26D9F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F26D9F">
        <w:rPr>
          <w:rFonts w:ascii="Times New Roman" w:hAnsi="Times New Roman" w:cs="Times New Roman"/>
          <w:b/>
          <w:sz w:val="28"/>
          <w:szCs w:val="28"/>
        </w:rPr>
        <w:t xml:space="preserve"> компонентам освітньої програми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435"/>
        <w:gridCol w:w="693"/>
        <w:gridCol w:w="694"/>
        <w:gridCol w:w="694"/>
        <w:gridCol w:w="694"/>
        <w:gridCol w:w="693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</w:tblGrid>
      <w:tr w:rsidR="009E034F" w:rsidRPr="00F26D9F" w:rsidTr="009E034F">
        <w:trPr>
          <w:cantSplit/>
          <w:trHeight w:val="794"/>
        </w:trPr>
        <w:tc>
          <w:tcPr>
            <w:tcW w:w="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ОК 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1.8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2.1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034F" w:rsidRPr="00F26D9F" w:rsidRDefault="009E034F" w:rsidP="00172FEB">
            <w:pPr>
              <w:ind w:left="113" w:right="113"/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ВБ 2.2</w:t>
            </w:r>
          </w:p>
        </w:tc>
      </w:tr>
      <w:tr w:rsidR="009E034F" w:rsidRPr="00F26D9F" w:rsidTr="009E034F">
        <w:trPr>
          <w:cantSplit/>
          <w:trHeight w:val="20"/>
        </w:trPr>
        <w:tc>
          <w:tcPr>
            <w:tcW w:w="110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cantSplit/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cantSplit/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</w:tr>
      <w:tr w:rsidR="009E034F" w:rsidRPr="00F26D9F" w:rsidTr="009E034F">
        <w:trPr>
          <w:cantSplit/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cantSplit/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ЗК 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9E034F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9E034F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lang w:eastAsia="ru-RU"/>
              </w:rPr>
            </w:pPr>
            <w:r w:rsidRPr="00F26D9F">
              <w:rPr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 xml:space="preserve">ФК 12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 xml:space="preserve">ФК 13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 xml:space="preserve">ФК 14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9E034F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++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  <w:tr w:rsidR="009E034F" w:rsidRPr="00F26D9F" w:rsidTr="009E034F">
        <w:trPr>
          <w:trHeight w:val="20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ФК 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4F" w:rsidRPr="00F26D9F" w:rsidRDefault="009E034F" w:rsidP="00172FEB">
            <w:pPr>
              <w:contextualSpacing/>
              <w:jc w:val="center"/>
              <w:rPr>
                <w:b/>
                <w:lang w:eastAsia="ru-RU"/>
              </w:rPr>
            </w:pPr>
            <w:r w:rsidRPr="00F26D9F">
              <w:rPr>
                <w:b/>
                <w:lang w:eastAsia="ru-RU"/>
              </w:rPr>
              <w:t>+</w:t>
            </w:r>
          </w:p>
        </w:tc>
      </w:tr>
    </w:tbl>
    <w:p w:rsidR="00172FEB" w:rsidRPr="00F26D9F" w:rsidRDefault="00172FEB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EB" w:rsidRPr="00F26D9F" w:rsidRDefault="00172FEB">
      <w:pPr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9F">
        <w:rPr>
          <w:rFonts w:ascii="Times New Roman" w:hAnsi="Times New Roman" w:cs="Times New Roman"/>
          <w:b/>
          <w:sz w:val="28"/>
          <w:szCs w:val="28"/>
        </w:rPr>
        <w:lastRenderedPageBreak/>
        <w:t>5. Матриця забезпеченості програмних результатів навчання (ПРН) відповідними компонентами</w:t>
      </w:r>
      <w:r w:rsidRPr="00F26D9F">
        <w:rPr>
          <w:rFonts w:ascii="Times New Roman" w:hAnsi="Times New Roman" w:cs="Times New Roman"/>
          <w:b/>
          <w:sz w:val="28"/>
          <w:szCs w:val="28"/>
        </w:rPr>
        <w:br/>
        <w:t>освітньої програми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676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151F2F" w:rsidRPr="00F26D9F" w:rsidTr="00151F2F">
        <w:trPr>
          <w:cantSplit/>
          <w:trHeight w:val="113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1.8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2.1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1F2F" w:rsidRPr="00F26D9F" w:rsidRDefault="00151F2F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ВБ 2.2</w:t>
            </w:r>
          </w:p>
        </w:tc>
      </w:tr>
      <w:tr w:rsidR="00151F2F" w:rsidRPr="00F26D9F" w:rsidTr="00151F2F">
        <w:trPr>
          <w:cantSplit/>
          <w:trHeight w:val="260"/>
        </w:trPr>
        <w:tc>
          <w:tcPr>
            <w:tcW w:w="13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51F2F" w:rsidRPr="00F26D9F" w:rsidTr="00151F2F">
        <w:trPr>
          <w:cantSplit/>
          <w:trHeight w:val="250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rPr>
          <w:cantSplit/>
          <w:trHeight w:val="254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51F2F" w:rsidRPr="00F26D9F" w:rsidTr="00151F2F">
        <w:trPr>
          <w:cantSplit/>
          <w:trHeight w:val="257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rPr>
          <w:cantSplit/>
          <w:trHeight w:val="248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  <w:r w:rsidRPr="00F26D9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1F2F" w:rsidRPr="00F26D9F" w:rsidTr="00151F2F"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ПРН 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F" w:rsidRPr="00F26D9F" w:rsidRDefault="00151F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26D9F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63751E" w:rsidRPr="00F26D9F" w:rsidRDefault="0063751E" w:rsidP="0063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1E" w:rsidRPr="00F26D9F" w:rsidRDefault="0063751E" w:rsidP="0063751E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</w:p>
    <w:p w:rsidR="00BD1E61" w:rsidRPr="00F26D9F" w:rsidRDefault="00BD1E61"/>
    <w:sectPr w:rsidR="00BD1E61" w:rsidRPr="00F26D9F" w:rsidSect="00637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A91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1E"/>
    <w:rsid w:val="00017D1A"/>
    <w:rsid w:val="00151F2F"/>
    <w:rsid w:val="00172FEB"/>
    <w:rsid w:val="002236EA"/>
    <w:rsid w:val="00485F07"/>
    <w:rsid w:val="004B07B9"/>
    <w:rsid w:val="0059330A"/>
    <w:rsid w:val="005A63E5"/>
    <w:rsid w:val="0063751E"/>
    <w:rsid w:val="00751B55"/>
    <w:rsid w:val="00851244"/>
    <w:rsid w:val="009E034F"/>
    <w:rsid w:val="00AA6F4A"/>
    <w:rsid w:val="00AB1FAB"/>
    <w:rsid w:val="00BD1E61"/>
    <w:rsid w:val="00D57A9F"/>
    <w:rsid w:val="00F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E"/>
    <w:rPr>
      <w:lang w:val="uk-UA"/>
    </w:rPr>
  </w:style>
  <w:style w:type="paragraph" w:styleId="1">
    <w:name w:val="heading 1"/>
    <w:basedOn w:val="a"/>
    <w:next w:val="a"/>
    <w:link w:val="10"/>
    <w:qFormat/>
    <w:rsid w:val="0063751E"/>
    <w:pPr>
      <w:keepNext/>
      <w:keepLines/>
      <w:spacing w:before="240" w:after="0" w:line="264" w:lineRule="auto"/>
      <w:jc w:val="both"/>
      <w:outlineLvl w:val="0"/>
    </w:pPr>
    <w:rPr>
      <w:rFonts w:ascii="Calibri Light" w:eastAsia="Calibri" w:hAnsi="Calibri Light" w:cs="Times New Roman"/>
      <w:color w:val="2E74B5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37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751E"/>
    <w:pPr>
      <w:spacing w:before="240" w:after="60" w:line="264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6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3751E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7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3751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751E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3751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63751E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63751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63751E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63751E"/>
    <w:pPr>
      <w:tabs>
        <w:tab w:val="center" w:pos="4677"/>
        <w:tab w:val="right" w:pos="9355"/>
      </w:tabs>
      <w:spacing w:after="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3751E"/>
    <w:pPr>
      <w:spacing w:after="12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3751E"/>
    <w:pPr>
      <w:spacing w:after="120" w:line="264" w:lineRule="auto"/>
      <w:ind w:left="283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751E"/>
    <w:pPr>
      <w:spacing w:after="120" w:line="480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semiHidden/>
    <w:unhideWhenUsed/>
    <w:rsid w:val="0063751E"/>
    <w:pPr>
      <w:shd w:val="clear" w:color="auto" w:fill="FFFFFF"/>
      <w:spacing w:before="216" w:after="0" w:line="293" w:lineRule="exact"/>
      <w:ind w:left="134" w:right="130" w:firstLine="61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751E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51E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No Spacing"/>
    <w:uiPriority w:val="99"/>
    <w:qFormat/>
    <w:rsid w:val="0063751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63751E"/>
    <w:pPr>
      <w:spacing w:after="0" w:line="264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customStyle="1" w:styleId="Default">
    <w:name w:val="Default"/>
    <w:uiPriority w:val="99"/>
    <w:rsid w:val="006375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30">
    <w:name w:val="a3"/>
    <w:basedOn w:val="a"/>
    <w:uiPriority w:val="99"/>
    <w:rsid w:val="006375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63751E"/>
    <w:pPr>
      <w:widowControl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e1fbf7edfbe9">
    <w:name w:val="Оceбe1ыfbчf7нedыfbйe9"/>
    <w:uiPriority w:val="99"/>
    <w:rsid w:val="0063751E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6375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0"/>
    <w:uiPriority w:val="99"/>
    <w:semiHidden/>
    <w:unhideWhenUsed/>
    <w:rsid w:val="0063751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3751E"/>
  </w:style>
  <w:style w:type="table" w:styleId="af4">
    <w:name w:val="Table Grid"/>
    <w:basedOn w:val="a1"/>
    <w:uiPriority w:val="59"/>
    <w:rsid w:val="0063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E"/>
    <w:rPr>
      <w:lang w:val="uk-UA"/>
    </w:rPr>
  </w:style>
  <w:style w:type="paragraph" w:styleId="1">
    <w:name w:val="heading 1"/>
    <w:basedOn w:val="a"/>
    <w:next w:val="a"/>
    <w:link w:val="10"/>
    <w:qFormat/>
    <w:rsid w:val="0063751E"/>
    <w:pPr>
      <w:keepNext/>
      <w:keepLines/>
      <w:spacing w:before="240" w:after="0" w:line="264" w:lineRule="auto"/>
      <w:jc w:val="both"/>
      <w:outlineLvl w:val="0"/>
    </w:pPr>
    <w:rPr>
      <w:rFonts w:ascii="Calibri Light" w:eastAsia="Calibri" w:hAnsi="Calibri Light" w:cs="Times New Roman"/>
      <w:color w:val="2E74B5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37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751E"/>
    <w:pPr>
      <w:spacing w:before="240" w:after="60" w:line="264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6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3751E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7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3751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751E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3751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63751E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63751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63751E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63751E"/>
    <w:pPr>
      <w:tabs>
        <w:tab w:val="center" w:pos="4677"/>
        <w:tab w:val="right" w:pos="9355"/>
      </w:tabs>
      <w:spacing w:after="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3751E"/>
    <w:pPr>
      <w:spacing w:after="120" w:line="264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3751E"/>
    <w:pPr>
      <w:spacing w:after="120" w:line="264" w:lineRule="auto"/>
      <w:ind w:left="283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751E"/>
    <w:pPr>
      <w:spacing w:after="120" w:line="480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751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semiHidden/>
    <w:unhideWhenUsed/>
    <w:rsid w:val="0063751E"/>
    <w:pPr>
      <w:shd w:val="clear" w:color="auto" w:fill="FFFFFF"/>
      <w:spacing w:before="216" w:after="0" w:line="293" w:lineRule="exact"/>
      <w:ind w:left="134" w:right="130" w:firstLine="61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751E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51E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No Spacing"/>
    <w:uiPriority w:val="99"/>
    <w:qFormat/>
    <w:rsid w:val="0063751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63751E"/>
    <w:pPr>
      <w:spacing w:after="0" w:line="264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customStyle="1" w:styleId="Default">
    <w:name w:val="Default"/>
    <w:uiPriority w:val="99"/>
    <w:rsid w:val="006375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30">
    <w:name w:val="a3"/>
    <w:basedOn w:val="a"/>
    <w:uiPriority w:val="99"/>
    <w:rsid w:val="006375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63751E"/>
    <w:pPr>
      <w:widowControl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e1fbf7edfbe9">
    <w:name w:val="Оceбe1ыfbчf7нedыfbйe9"/>
    <w:uiPriority w:val="99"/>
    <w:rsid w:val="0063751E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6375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0"/>
    <w:uiPriority w:val="99"/>
    <w:semiHidden/>
    <w:unhideWhenUsed/>
    <w:rsid w:val="0063751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3751E"/>
  </w:style>
  <w:style w:type="table" w:styleId="af4">
    <w:name w:val="Table Grid"/>
    <w:basedOn w:val="a1"/>
    <w:uiPriority w:val="59"/>
    <w:rsid w:val="0063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13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10</cp:revision>
  <cp:lastPrinted>2018-05-25T08:10:00Z</cp:lastPrinted>
  <dcterms:created xsi:type="dcterms:W3CDTF">2018-05-23T12:36:00Z</dcterms:created>
  <dcterms:modified xsi:type="dcterms:W3CDTF">2018-06-01T10:56:00Z</dcterms:modified>
</cp:coreProperties>
</file>